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0" w:type="auto"/>
        <w:tblBorders>
          <w:top w:val="none" w:sz="0" w:space="0"/>
          <w:left w:val="none" w:sz="0" w:space="0"/>
          <w:bottom w:val="none" w:sz="0" w:space="0"/>
          <w:right w:val="none" w:sz="0" w:space="0"/>
          <w:insideH w:val="none" w:sz="0" w:space="0"/>
          <w:insideV w:val="none" w:sz="0" w:space="0"/>
        </w:tblBorders>
        <w:tblCellMar>
          <w:top w:w="0" w:type="dxa"/>
          <w:left w:w="0" w:type="dxa"/>
          <w:bottom w:w="0" w:type="dxa"/>
          <w:right w:w="0" w:type="dxa"/>
        </w:tblCellMar>
        <w:tblLayout w:type="fixed"/>
      </w:tblPr>
      <w:tblGrid>
        <w:gridCol w:w="4841"/>
        <w:gridCol w:w="5619"/>
      </w:tblGrid>
      <w:tr>
        <w:tc>
          <w:tcPr>
            <w:tcW w:w="4841" w:type="dxa"/>
            <w:vAlign w:val="center"/>
          </w:tcPr>
          <w:p>
            <w:pPr>
              <w:jc w:val="left"/>
            </w:pPr>
            <w:r>
              <w:drawing>
                <wp:inline distT="0" distB="0" distL="0" distR="0">
                  <wp:extent cx="2909418" cy="1911903"/>
                  <wp:effectExtent l="0" t="0" r="0" b="0"/>
                  <wp:docPr id="1073741825" name="officeArt object" descr="logo-500.png"/>
                  <wp:cNvGraphicFramePr/>
                  <a:graphic xmlns:a="http://schemas.openxmlformats.org/drawingml/2006/main">
                    <a:graphicData uri="http://schemas.openxmlformats.org/drawingml/2006/picture">
                      <pic:pic xmlns:pic="http://schemas.openxmlformats.org/drawingml/2006/picture">
                        <pic:nvPicPr>
                          <pic:cNvPr id="1073741825" name="logo-500.png" descr="logo-500.png"/>
                          <pic:cNvPicPr>
                            <a:picLocks noChangeAspect="1"/>
                          </pic:cNvPicPr>
                        </pic:nvPicPr>
                        <pic:blipFill>
                          <a:blip r:embed="rId4">
                            <a:extLst/>
                          </a:blip>
                          <a:srcRect l="86" t="0" r="86" b="0"/>
                          <a:stretch>
                            <a:fillRect/>
                          </a:stretch>
                        </pic:blipFill>
                        <pic:spPr>
                          <a:xfrm>
                            <a:off x="0" y="0"/>
                            <a:ext cx="2909418" cy="1911903"/>
                          </a:xfrm>
                          <a:prstGeom prst="rect">
                            <a:avLst/>
                          </a:prstGeom>
                          <a:ln w="12700" cap="flat">
                            <a:noFill/>
                            <a:miter lim="400000"/>
                          </a:ln>
                          <a:effectLst>
                            <a:outerShdw sx="100000" sy="100000" kx="0" ky="0" algn="b" rotWithShape="0" blurRad="254000" dist="127000" dir="16200000">
                              <a:srgbClr val="000000">
                                <a:alpha val="70000"/>
                              </a:srgbClr>
                            </a:outerShdw>
                          </a:effectLst>
                        </pic:spPr>
                      </pic:pic>
                    </a:graphicData>
                  </a:graphic>
                </wp:inline>
              </w:drawing>
            </w:r>
          </w:p>
        </w:tc>
        <w:tc>
          <w:tcPr>
            <w:tcW w:w="5619" w:type="dxa"/>
            <w:vAlign w:val="center"/>
          </w:tcPr>
          <w:p>
            <w:pPr>
              <w:pStyle w:val="Title"/>
              <w:spacing w:after="360"/>
              <w:jc w:val="center"/>
              <w:rPr>
                <w:rFonts w:ascii="Arial" w:cs="Arial" w:hAnsi="Arial" w:eastAsia="Arial"/>
                <w:sz w:val="48"/>
                <w:szCs w:val="48"/>
              </w:rPr>
            </w:pPr>
            <w:r>
              <w:rPr>
                <w:rFonts w:ascii="Arial" w:hAnsi="Arial"/>
                <w:outline w:val="0"/>
                <w:color w:val="ff1a00"/>
                <w:sz w:val="48"/>
                <w:szCs w:val="48"/>
                <w:u w:color="2f5496"/>
                <w:rtl w:val="0"/>
                <w:lang w:val="en-US"/>
                <w14:textFill>
                  <w14:solidFill>
                    <w14:srgbClr w14:val="FF1A00"/>
                  </w14:solidFill>
                </w14:textFill>
              </w:rPr>
              <w:t>D</w:t>
            </w:r>
            <w:r>
              <w:rPr>
                <w:rFonts w:ascii="Arial" w:hAnsi="Arial" w:hint="default"/>
                <w:outline w:val="0"/>
                <w:color w:val="ff1a00"/>
                <w:sz w:val="48"/>
                <w:szCs w:val="48"/>
                <w:u w:color="2f5496"/>
                <w:rtl w:val="0"/>
                <w:lang w:val="en-US"/>
                <w14:textFill>
                  <w14:solidFill>
                    <w14:srgbClr w14:val="FF1A00"/>
                  </w14:solidFill>
                </w14:textFill>
              </w:rPr>
              <w:t>ė</w:t>
            </w:r>
            <w:r>
              <w:rPr>
                <w:rFonts w:ascii="Arial" w:hAnsi="Arial"/>
                <w:outline w:val="0"/>
                <w:color w:val="ff1a00"/>
                <w:sz w:val="48"/>
                <w:szCs w:val="48"/>
                <w:u w:color="2f5496"/>
                <w:rtl w:val="0"/>
                <w:lang w:val="en-US"/>
                <w14:textFill>
                  <w14:solidFill>
                    <w14:srgbClr w14:val="FF1A00"/>
                  </w14:solidFill>
                </w14:textFill>
              </w:rPr>
              <w:t>mesio!</w:t>
            </w:r>
          </w:p>
          <w:p>
            <w:pPr>
              <w:pStyle w:val="Normal (Web)"/>
              <w:spacing w:before="0" w:after="300" w:line="420" w:lineRule="atLeast"/>
              <w:jc w:val="center"/>
              <w:rPr>
                <w:rFonts w:ascii="Calibri" w:cs="Calibri" w:hAnsi="Calibri" w:eastAsia="Calibri"/>
                <w:b w:val="1"/>
                <w:bCs w:val="1"/>
                <w:sz w:val="24"/>
                <w:szCs w:val="24"/>
              </w:rPr>
            </w:pPr>
            <w:r>
              <w:rPr>
                <w:rFonts w:ascii="Calibri" w:hAnsi="Calibri"/>
                <w:b w:val="1"/>
                <w:bCs w:val="1"/>
                <w:sz w:val="36"/>
                <w:szCs w:val="36"/>
                <w:rtl w:val="0"/>
                <w:lang w:val="en-US"/>
              </w:rPr>
              <w:t xml:space="preserve">Kviečiame 1-12 klasių mokinius</w:t>
            </w:r>
            <w:r>
              <w:rPr>
                <w:rFonts w:ascii="Calibri" w:hAnsi="Calibri" w:hint="default"/>
                <w:b w:val="1"/>
                <w:bCs w:val="1"/>
                <w:sz w:val="36"/>
                <w:szCs w:val="36"/>
                <w:rtl w:val="0"/>
                <w:lang w:val="en-US"/>
              </w:rPr>
              <w:t xml:space="preserve"/>
            </w:r>
            <w:r>
              <w:rPr>
                <w:rFonts w:ascii="Calibri" w:hAnsi="Calibri"/>
                <w:b w:val="1"/>
                <w:bCs w:val="1"/>
                <w:sz w:val="36"/>
                <w:szCs w:val="36"/>
                <w:rtl w:val="0"/>
                <w:lang w:val="en-US"/>
              </w:rPr>
              <w:t xml:space="preserve"/>
            </w:r>
            <w:r>
              <w:rPr>
                <w:rFonts w:ascii="Calibri" w:hAnsi="Calibri"/>
                <w:b w:val="1"/>
                <w:bCs w:val="1"/>
                <w:outline w:val="0"/>
                <w:color w:val="ff0000"/>
                <w:sz w:val="36"/>
                <w:szCs w:val="36"/>
                <w:u w:color="ff0000"/>
                <w:rtl w:val="0"/>
                <w:lang w:val="en-US"/>
                <w14:textFill>
                  <w14:solidFill>
                    <w14:srgbClr w14:val="FF0000"/>
                  </w14:solidFill>
                </w14:textFill>
              </w:rPr>
              <w:t xml:space="preserve"/>
            </w:r>
            <w:r>
              <w:rPr>
                <w:rFonts w:ascii="Calibri" w:hAnsi="Calibri"/>
                <w:b w:val="1"/>
                <w:bCs w:val="1"/>
                <w:sz w:val="36"/>
                <w:szCs w:val="36"/>
                <w:rtl w:val="0"/>
                <w:lang w:val="en-US"/>
              </w:rPr>
              <w:t xml:space="preserve"/>
            </w:r>
            <w:r>
              <w:rPr>
                <w:rFonts w:ascii="Calibri" w:hAnsi="Calibri" w:hint="default"/>
                <w:b w:val="1"/>
                <w:bCs w:val="1"/>
                <w:sz w:val="36"/>
                <w:szCs w:val="36"/>
                <w:rtl w:val="0"/>
                <w:lang w:val="en-US"/>
              </w:rPr>
              <w:t xml:space="preserve"/>
            </w:r>
            <w:r>
              <w:rPr>
                <w:rFonts w:ascii="Calibri" w:hAnsi="Calibri"/>
                <w:b w:val="1"/>
                <w:bCs w:val="1"/>
                <w:sz w:val="36"/>
                <w:szCs w:val="36"/>
                <w:rtl w:val="0"/>
                <w:lang w:val="en-US"/>
              </w:rPr>
              <w:t xml:space="preserve"> ir mokytojus dalyvauti Tarptautiniuose edukaciniuose konkursuose</w:t>
              <w:br/>
              <w:t xml:space="preserve">„Brain Ring 2026 - Rudens sesija“.</w:t>
            </w:r>
          </w:p>
        </w:tc>
      </w:tr>
    </w:tbl>
    <w:p>
      <w:pPr>
        <w:pStyle w:val="Normal (Web)"/>
        <w:spacing w:before="0" w:after="120" w:line="300" w:lineRule="atLeast"/>
        <w:jc w:val="both"/>
        <w:rPr>
          <w:rFonts w:ascii="Calibri" w:cs="Calibri" w:hAnsi="Calibri" w:eastAsia="Calibri"/>
          <w:b w:val="1"/>
          <w:bCs w:val="1"/>
          <w:sz w:val="26"/>
          <w:szCs w:val="26"/>
        </w:rPr>
      </w:pPr>
      <w:r>
        <w:br w:type="textWrapping" w:clear="all"/>
      </w: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Arial Unicode MS" w:cs="Arial Unicode MS" w:hAnsi="Arial Unicode MS" w:eastAsia="Arial Unicode MS"/>
          <w:b w:val="0"/>
          <w:bCs w:val="0"/>
          <w:i w:val="0"/>
          <w:iCs w:val="0"/>
          <w:sz w:val="26"/>
          <w:szCs w:val="26"/>
          <w:rtl w:val="0"/>
          <w:lang w:val="en-US"/>
        </w:rPr>
        <w:t>️</w:t>
      </w:r>
      <w:r>
        <w:rPr>
          <w:rFonts w:ascii="Calibri" w:hAnsi="Calibri"/>
          <w:b w:val="1"/>
          <w:bCs w:val="1"/>
          <w:sz w:val="26"/>
          <w:szCs w:val="26"/>
          <w:rtl w:val="0"/>
          <w:lang w:val="en-US"/>
        </w:rPr>
        <w:t xml:space="preserve"> Dalyvauti</w:t>
      </w:r>
      <w:r>
        <w:rPr>
          <w:rFonts w:ascii="Calibri" w:hAnsi="Calibri"/>
          <w:b w:val="1"/>
          <w:bCs w:val="1"/>
          <w:sz w:val="26"/>
          <w:szCs w:val="26"/>
          <w:rtl w:val="0"/>
          <w:lang w:val="en-US"/>
        </w:rPr>
        <w:t xml:space="preserve"> </w:t>
      </w:r>
      <w:r>
        <w:rPr>
          <w:rFonts w:ascii="Calibri" w:hAnsi="Calibri"/>
          <w:b w:val="1"/>
          <w:bCs w:val="1"/>
          <w:sz w:val="26"/>
          <w:szCs w:val="26"/>
          <w:rtl w:val="0"/>
          <w:lang w:val="en-US"/>
        </w:rPr>
        <w:t xml:space="preserve">„Brain Ring 2026 - Rudens sesija“ </w:t>
      </w:r>
      <w:r>
        <w:rPr>
          <w:rFonts w:ascii="Calibri" w:hAnsi="Calibri"/>
          <w:b w:val="1"/>
          <w:bCs w:val="1"/>
          <w:sz w:val="26"/>
          <w:szCs w:val="26"/>
          <w:rtl w:val="0"/>
          <w:lang w:val="en-US"/>
        </w:rPr>
        <w:t>konkursuose galima bet kuriuo metu</w:t>
      </w:r>
      <w:r>
        <w:rPr>
          <w:rFonts w:ascii="Calibri" w:hAnsi="Calibri"/>
          <w:b w:val="1"/>
          <w:bCs w:val="1"/>
          <w:sz w:val="26"/>
          <w:szCs w:val="26"/>
          <w:rtl w:val="0"/>
          <w:lang w:val="en-US"/>
        </w:rPr>
        <w:t xml:space="preserve"> </w:t>
      </w:r>
      <w:r>
        <w:rPr>
          <w:rFonts w:ascii="Calibri" w:hAnsi="Calibri"/>
          <w:b w:val="1"/>
          <w:bCs w:val="1"/>
          <w:sz w:val="26"/>
          <w:szCs w:val="26"/>
          <w:rtl w:val="0"/>
          <w:lang w:val="en-US"/>
        </w:rPr>
        <w:t>nuo 2026 m. lapkričio 1 d. iki lapkričio 30 d. imtinai.</w:t>
      </w:r>
    </w:p>
    <w:p>
      <w:pPr>
        <w:pStyle w:val="Normal (Web)"/>
        <w:spacing w:before="0" w:after="120" w:line="300" w:lineRule="atLeast"/>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b w:val="1"/>
          <w:bCs w:val="1"/>
          <w:sz w:val="26"/>
          <w:szCs w:val="26"/>
          <w:u w:color="ff0000"/>
          <w:rtl w:val="0"/>
          <w:lang w:val="en-US"/>
        </w:rPr>
        <w:t>Konkursai „Brain Ring 2026“</w:t>
      </w:r>
      <w:r>
        <w:rPr>
          <w:rFonts w:ascii="Calibri" w:hAnsi="Calibri"/>
          <w:b w:val="1"/>
          <w:bCs w:val="1"/>
          <w:sz w:val="26"/>
          <w:szCs w:val="26"/>
          <w:u w:color="ff0000"/>
          <w:rtl w:val="0"/>
          <w:lang w:val="en-US"/>
        </w:rPr>
        <w:t xml:space="preserve"> </w:t>
      </w:r>
      <w:r>
        <w:rPr>
          <w:rFonts w:ascii="Calibri" w:hAnsi="Calibri"/>
          <w:b w:val="1"/>
          <w:bCs w:val="1"/>
          <w:sz w:val="26"/>
          <w:szCs w:val="26"/>
          <w:u w:color="ff0000"/>
          <w:rtl w:val="0"/>
          <w:lang w:val="en-US"/>
        </w:rPr>
        <w:t xml:space="preserve">skirstomi į 9 mokomuosius dalykus: lietuvių kalba ir literatūra, anglų kalba, matematika, biologija (pasaulio pažinimas), informacinės technologijos, fizika, chemija, istorija ir geografija.</w:t>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b w:val="1"/>
          <w:bCs w:val="1"/>
          <w:sz w:val="26"/>
          <w:szCs w:val="26"/>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Konkurs</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 xml:space="preserve">tikslas </w:t>
      </w:r>
      <w:r>
        <w:rPr>
          <w:rFonts w:ascii="Calibri" w:hAnsi="Calibri" w:hint="default"/>
          <w:b w:val="1"/>
          <w:bCs w:val="1"/>
          <w:sz w:val="26"/>
          <w:szCs w:val="26"/>
          <w:rtl w:val="0"/>
          <w:lang w:val="en-US"/>
        </w:rPr>
        <w:t xml:space="preserve">– </w:t>
      </w:r>
      <w:r>
        <w:rPr>
          <w:rFonts w:ascii="Calibri" w:hAnsi="Calibri"/>
          <w:b w:val="1"/>
          <w:bCs w:val="1"/>
          <w:sz w:val="26"/>
          <w:szCs w:val="26"/>
          <w:rtl w:val="0"/>
          <w:lang w:val="en-US"/>
        </w:rPr>
        <w:t>sudominti mokinius mokomaisiais dalykais ir skatinti mokini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mokymosi motyvacij</w:t>
      </w:r>
      <w:r>
        <w:rPr>
          <w:rFonts w:ascii="Calibri" w:hAnsi="Calibri" w:hint="default"/>
          <w:b w:val="1"/>
          <w:bCs w:val="1"/>
          <w:sz w:val="26"/>
          <w:szCs w:val="26"/>
          <w:rtl w:val="0"/>
          <w:lang w:val="en-US"/>
        </w:rPr>
        <w:t>ą</w:t>
      </w:r>
      <w:r>
        <w:rPr>
          <w:rFonts w:ascii="Calibri" w:hAnsi="Calibri"/>
          <w:b w:val="1"/>
          <w:bCs w:val="1"/>
          <w:sz w:val="26"/>
          <w:szCs w:val="26"/>
          <w:rtl w:val="0"/>
          <w:lang w:val="en-US"/>
        </w:rPr>
        <w: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hint="default"/>
          <w:b w:val="1"/>
          <w:bCs w:val="1"/>
          <w:sz w:val="26"/>
          <w:szCs w:val="26"/>
          <w:u w:color="ff0000"/>
          <w:rtl w:val="0"/>
          <w:lang w:val="en-US"/>
        </w:rPr>
        <w:t>Į</w:t>
      </w:r>
      <w:r>
        <w:rPr>
          <w:rFonts w:ascii="Calibri" w:hAnsi="Calibri"/>
          <w:b w:val="1"/>
          <w:bCs w:val="1"/>
          <w:sz w:val="26"/>
          <w:szCs w:val="26"/>
          <w:u w:color="ff0000"/>
          <w:rtl w:val="0"/>
          <w:lang w:val="en-US"/>
        </w:rPr>
        <w:t>vairaus sud</w:t>
      </w:r>
      <w:r>
        <w:rPr>
          <w:rFonts w:ascii="Calibri" w:hAnsi="Calibri" w:hint="default"/>
          <w:b w:val="1"/>
          <w:bCs w:val="1"/>
          <w:sz w:val="26"/>
          <w:szCs w:val="26"/>
          <w:u w:color="ff0000"/>
          <w:rtl w:val="0"/>
          <w:lang w:val="en-US"/>
        </w:rPr>
        <w:t>ė</w:t>
      </w:r>
      <w:r>
        <w:rPr>
          <w:rFonts w:ascii="Calibri" w:hAnsi="Calibri"/>
          <w:b w:val="1"/>
          <w:bCs w:val="1"/>
          <w:sz w:val="26"/>
          <w:szCs w:val="26"/>
          <w:u w:color="ff0000"/>
          <w:rtl w:val="0"/>
          <w:lang w:val="en-US"/>
        </w:rPr>
        <w:t>tingumo u</w:t>
      </w:r>
      <w:r>
        <w:rPr>
          <w:rFonts w:ascii="Calibri" w:hAnsi="Calibri" w:hint="default"/>
          <w:b w:val="1"/>
          <w:bCs w:val="1"/>
          <w:sz w:val="26"/>
          <w:szCs w:val="26"/>
          <w:u w:color="ff0000"/>
          <w:rtl w:val="0"/>
          <w:lang w:val="en-US"/>
        </w:rPr>
        <w:t>ž</w:t>
      </w:r>
      <w:r>
        <w:rPr>
          <w:rFonts w:ascii="Calibri" w:hAnsi="Calibri"/>
          <w:b w:val="1"/>
          <w:bCs w:val="1"/>
          <w:sz w:val="26"/>
          <w:szCs w:val="26"/>
          <w:u w:color="ff0000"/>
          <w:rtl w:val="0"/>
          <w:lang w:val="en-US"/>
        </w:rPr>
        <w:t>duotys, atitinkan</w:t>
      </w:r>
      <w:r>
        <w:rPr>
          <w:rFonts w:ascii="Calibri" w:hAnsi="Calibri" w:hint="default"/>
          <w:b w:val="1"/>
          <w:bCs w:val="1"/>
          <w:sz w:val="26"/>
          <w:szCs w:val="26"/>
          <w:u w:color="ff0000"/>
          <w:rtl w:val="0"/>
          <w:lang w:val="en-US"/>
        </w:rPr>
        <w:t>č</w:t>
      </w:r>
      <w:r>
        <w:rPr>
          <w:rFonts w:ascii="Calibri" w:hAnsi="Calibri"/>
          <w:b w:val="1"/>
          <w:bCs w:val="1"/>
          <w:sz w:val="26"/>
          <w:szCs w:val="26"/>
          <w:u w:color="ff0000"/>
          <w:rtl w:val="0"/>
          <w:lang w:val="en-US"/>
        </w:rPr>
        <w:t>ios mokymo program</w:t>
      </w:r>
      <w:r>
        <w:rPr>
          <w:rFonts w:ascii="Calibri" w:hAnsi="Calibri" w:hint="default"/>
          <w:b w:val="1"/>
          <w:bCs w:val="1"/>
          <w:sz w:val="26"/>
          <w:szCs w:val="26"/>
          <w:u w:color="ff0000"/>
          <w:rtl w:val="0"/>
          <w:lang w:val="en-US"/>
        </w:rPr>
        <w:t>ą</w:t>
      </w:r>
      <w:r>
        <w:rPr>
          <w:rFonts w:ascii="Calibri" w:hAnsi="Calibri"/>
          <w:b w:val="1"/>
          <w:bCs w:val="1"/>
          <w:sz w:val="26"/>
          <w:szCs w:val="26"/>
          <w:rtl w:val="0"/>
          <w:lang w:val="en-US"/>
        </w:rPr>
        <w: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Konkurso u</w:t>
      </w:r>
      <w:r>
        <w:rPr>
          <w:rFonts w:ascii="Calibri" w:hAnsi="Calibri" w:hint="default"/>
          <w:b w:val="1"/>
          <w:bCs w:val="1"/>
          <w:sz w:val="26"/>
          <w:szCs w:val="26"/>
          <w:rtl w:val="0"/>
          <w:lang w:val="en-US"/>
        </w:rPr>
        <w:t>ž</w:t>
      </w:r>
      <w:r>
        <w:rPr>
          <w:rFonts w:ascii="Calibri" w:hAnsi="Calibri"/>
          <w:b w:val="1"/>
          <w:bCs w:val="1"/>
          <w:sz w:val="26"/>
          <w:szCs w:val="26"/>
          <w:rtl w:val="0"/>
          <w:lang w:val="en-US"/>
        </w:rPr>
        <w:t>duotims atlikti skiriama 45 minu</w:t>
      </w:r>
      <w:r>
        <w:rPr>
          <w:rFonts w:ascii="Calibri" w:hAnsi="Calibri" w:hint="default"/>
          <w:b w:val="1"/>
          <w:bCs w:val="1"/>
          <w:sz w:val="26"/>
          <w:szCs w:val="26"/>
          <w:rtl w:val="0"/>
          <w:lang w:val="en-US"/>
        </w:rPr>
        <w:t>č</w:t>
      </w:r>
      <w:r>
        <w:rPr>
          <w:rFonts w:ascii="Calibri" w:hAnsi="Calibri"/>
          <w:b w:val="1"/>
          <w:bCs w:val="1"/>
          <w:sz w:val="26"/>
          <w:szCs w:val="26"/>
          <w:rtl w:val="0"/>
          <w:lang w:val="en-US"/>
        </w:rPr>
        <w:t>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(1 pamoka).</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Apdovanojimai kiekvienam dalyviui: spausdintas vardinis diplomas ar padėka ir firminė „Brain Ring“ sportinė kuprinė. Nominacijų nugalėtojai taip pat gauna vertingų prizų. Jei iš vienos klasės konkurse dalyvauja daugiau nei 10 mokinių, kiekvienas jų gauna papildomą dovaną: „Brain Ring“ pamokų tvarkaraštis.</w:t>
      </w:r>
      <w:r>
        <w:rPr>
          <w:rFonts w:ascii="Calibri" w:hAnsi="Calibri" w:hint="default"/>
          <w:b w:val="1"/>
          <w:bCs w:val="1"/>
          <w:sz w:val="26"/>
          <w:szCs w:val="26"/>
          <w:rtl w:val="0"/>
          <w:lang w:val="en-US"/>
        </w:rPr>
        <w:t xml:space="preserve"/>
      </w:r>
      <w:r>
        <w:rPr>
          <w:rFonts w:ascii="Calibri" w:hAnsi="Calibri"/>
          <w:b w:val="1"/>
          <w:bCs w:val="1"/>
          <w:sz w:val="26"/>
          <w:szCs w:val="26"/>
          <w:rtl w:val="0"/>
          <w:lang w:val="en-US"/>
        </w:rPr>
        <w:t xml:space="preserve"/>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b w:val="1"/>
          <w:bCs w:val="1"/>
          <w:sz w:val="26"/>
          <w:szCs w:val="26"/>
          <w:u w:color="ff0000"/>
          <w:rtl w:val="0"/>
          <w:lang w:val="en-US"/>
        </w:rPr>
        <w:t>Konkurse dalyvaujantys pedagogai ir kuratoriai gauna organizatoriaus pa</w:t>
      </w:r>
      <w:r>
        <w:rPr>
          <w:rFonts w:ascii="Calibri" w:hAnsi="Calibri" w:hint="default"/>
          <w:b w:val="1"/>
          <w:bCs w:val="1"/>
          <w:sz w:val="26"/>
          <w:szCs w:val="26"/>
          <w:u w:color="ff0000"/>
          <w:rtl w:val="0"/>
          <w:lang w:val="en-US"/>
        </w:rPr>
        <w:t>ž</w:t>
      </w:r>
      <w:r>
        <w:rPr>
          <w:rFonts w:ascii="Calibri" w:hAnsi="Calibri"/>
          <w:b w:val="1"/>
          <w:bCs w:val="1"/>
          <w:sz w:val="26"/>
          <w:szCs w:val="26"/>
          <w:u w:color="ff0000"/>
          <w:rtl w:val="0"/>
          <w:lang w:val="en-US"/>
        </w:rPr>
        <w:t>ym</w:t>
      </w:r>
      <w:r>
        <w:rPr>
          <w:rFonts w:ascii="Calibri" w:hAnsi="Calibri" w:hint="default"/>
          <w:b w:val="1"/>
          <w:bCs w:val="1"/>
          <w:sz w:val="26"/>
          <w:szCs w:val="26"/>
          <w:u w:color="ff0000"/>
          <w:rtl w:val="0"/>
          <w:lang w:val="en-US"/>
        </w:rPr>
        <w:t>ė</w:t>
      </w:r>
      <w:r>
        <w:rPr>
          <w:rFonts w:ascii="Calibri" w:hAnsi="Calibri"/>
          <w:b w:val="1"/>
          <w:bCs w:val="1"/>
          <w:sz w:val="26"/>
          <w:szCs w:val="26"/>
          <w:u w:color="ff0000"/>
          <w:rtl w:val="0"/>
          <w:lang w:val="en-US"/>
        </w:rPr>
        <w:t>jimus bei pinigin</w:t>
      </w:r>
      <w:r>
        <w:rPr>
          <w:rFonts w:ascii="Calibri" w:hAnsi="Calibri" w:hint="default"/>
          <w:b w:val="1"/>
          <w:bCs w:val="1"/>
          <w:sz w:val="26"/>
          <w:szCs w:val="26"/>
          <w:u w:color="ff0000"/>
          <w:rtl w:val="0"/>
          <w:lang w:val="en-US"/>
        </w:rPr>
        <w:t xml:space="preserve">ę </w:t>
      </w:r>
      <w:r>
        <w:rPr>
          <w:rFonts w:ascii="Calibri" w:hAnsi="Calibri"/>
          <w:b w:val="1"/>
          <w:bCs w:val="1"/>
          <w:sz w:val="26"/>
          <w:szCs w:val="26"/>
          <w:u w:color="ff0000"/>
          <w:rtl w:val="0"/>
          <w:lang w:val="en-US"/>
        </w:rPr>
        <w:t>kompensacij</w:t>
      </w:r>
      <w:r>
        <w:rPr>
          <w:rFonts w:ascii="Calibri" w:hAnsi="Calibri" w:hint="default"/>
          <w:b w:val="1"/>
          <w:bCs w:val="1"/>
          <w:sz w:val="26"/>
          <w:szCs w:val="26"/>
          <w:u w:color="ff0000"/>
          <w:rtl w:val="0"/>
          <w:lang w:val="en-US"/>
        </w:rPr>
        <w:t xml:space="preserve">ą </w:t>
      </w:r>
      <w:r>
        <w:rPr>
          <w:rFonts w:ascii="Calibri" w:hAnsi="Calibri"/>
          <w:b w:val="1"/>
          <w:bCs w:val="1"/>
          <w:sz w:val="26"/>
          <w:szCs w:val="26"/>
          <w:u w:color="ff0000"/>
          <w:rtl w:val="0"/>
          <w:lang w:val="en-US"/>
        </w:rPr>
        <w:t>iki 30%, priklausomai nuo jų registruojamų mokinių skaičiaus</w:t>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w:r>
      <w:r>
        <w:rPr>
          <w:rFonts w:ascii="Calibri" w:hAnsi="Calibri" w:hint="default"/>
          <w:b w:val="1"/>
          <w:bCs w:val="1"/>
          <w:sz w:val="26"/>
          <w:szCs w:val="26"/>
          <w:u w:color="ff0000"/>
          <w:rtl w:val="0"/>
          <w:lang w:val="en-US"/>
        </w:rPr>
        <w:t/>
      </w:r>
      <w:r>
        <w:rPr>
          <w:rFonts w:ascii="Calibri" w:hAnsi="Calibri"/>
          <w:b w:val="1"/>
          <w:bCs w:val="1"/>
          <w:sz w:val="26"/>
          <w:szCs w:val="26"/>
          <w:u w:color="ff0000"/>
          <w:rtl w:val="0"/>
          <w:lang w:val="en-US"/>
        </w:rPr>
        <w:t/>
      </w:r>
      <w:r>
        <w:rPr>
          <w:rFonts w:ascii="Calibri" w:hAnsi="Calibri" w:hint="default"/>
          <w:b w:val="1"/>
          <w:bCs w:val="1"/>
          <w:sz w:val="26"/>
          <w:szCs w:val="26"/>
          <w:u w:color="ff0000"/>
          <w:rtl w:val="0"/>
          <w:lang w:val="en-US"/>
        </w:rPr>
        <w:t/>
      </w:r>
      <w:r>
        <w:rPr>
          <w:rFonts w:ascii="Calibri" w:hAnsi="Calibri"/>
          <w:b w:val="1"/>
          <w:bCs w:val="1"/>
          <w:sz w:val="26"/>
          <w:szCs w:val="26"/>
          <w:u w:color="ff0000"/>
          <w:rtl w:val="0"/>
          <w:lang w:val="en-US"/>
        </w:rPr>
        <w: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Visi pedagogai, kuri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mokiniai konkurso metu laimi 1-3 laipsni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diplomus, gauna pa</w:t>
      </w:r>
      <w:r>
        <w:rPr>
          <w:rFonts w:ascii="Calibri" w:hAnsi="Calibri" w:hint="default"/>
          <w:b w:val="1"/>
          <w:bCs w:val="1"/>
          <w:sz w:val="26"/>
          <w:szCs w:val="26"/>
          <w:rtl w:val="0"/>
          <w:lang w:val="en-US"/>
        </w:rPr>
        <w:t>ž</w:t>
      </w:r>
      <w:r>
        <w:rPr>
          <w:rFonts w:ascii="Calibri" w:hAnsi="Calibri"/>
          <w:b w:val="1"/>
          <w:bCs w:val="1"/>
          <w:sz w:val="26"/>
          <w:szCs w:val="26"/>
          <w:rtl w:val="0"/>
          <w:lang w:val="en-US"/>
        </w:rPr>
        <w:t>ym</w:t>
      </w:r>
      <w:r>
        <w:rPr>
          <w:rFonts w:ascii="Calibri" w:hAnsi="Calibri" w:hint="default"/>
          <w:b w:val="1"/>
          <w:bCs w:val="1"/>
          <w:sz w:val="26"/>
          <w:szCs w:val="26"/>
          <w:rtl w:val="0"/>
          <w:lang w:val="en-US"/>
        </w:rPr>
        <w:t>ė</w:t>
      </w:r>
      <w:r>
        <w:rPr>
          <w:rFonts w:ascii="Calibri" w:hAnsi="Calibri"/>
          <w:b w:val="1"/>
          <w:bCs w:val="1"/>
          <w:sz w:val="26"/>
          <w:szCs w:val="26"/>
          <w:rtl w:val="0"/>
          <w:lang w:val="en-US"/>
        </w:rPr>
        <w:t>jimus, patvirtinan</w:t>
      </w:r>
      <w:r>
        <w:rPr>
          <w:rFonts w:ascii="Calibri" w:hAnsi="Calibri" w:hint="default"/>
          <w:b w:val="1"/>
          <w:bCs w:val="1"/>
          <w:sz w:val="26"/>
          <w:szCs w:val="26"/>
          <w:rtl w:val="0"/>
          <w:lang w:val="en-US"/>
        </w:rPr>
        <w:t>č</w:t>
      </w:r>
      <w:r>
        <w:rPr>
          <w:rFonts w:ascii="Calibri" w:hAnsi="Calibri"/>
          <w:b w:val="1"/>
          <w:bCs w:val="1"/>
          <w:sz w:val="26"/>
          <w:szCs w:val="26"/>
          <w:rtl w:val="0"/>
          <w:lang w:val="en-US"/>
        </w:rPr>
        <w:t>ius j</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mokini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pasiekimus.</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Mokiniai gali dalyvauti konkursuose bet kuriuo jiems patogiu metu ne tik mokykloje, bet ir namuose.</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Arial Unicode MS" w:cs="Arial Unicode MS" w:hAnsi="Arial Unicode MS" w:eastAsia="Arial Unicode MS"/>
          <w:b w:val="0"/>
          <w:bCs w:val="0"/>
          <w:i w:val="0"/>
          <w:iCs w:val="0"/>
          <w:sz w:val="26"/>
          <w:szCs w:val="26"/>
          <w:rtl w:val="0"/>
          <w:lang w:val="en-US"/>
        </w:rPr>
        <w:t>️</w:t>
      </w:r>
      <w:r>
        <w:rPr>
          <w:rFonts w:ascii="Calibri" w:hAnsi="Calibri"/>
          <w:b w:val="1"/>
          <w:bCs w:val="1"/>
          <w:sz w:val="26"/>
          <w:szCs w:val="26"/>
          <w:rtl w:val="0"/>
          <w:lang w:val="en-US"/>
        </w:rPr>
        <w:t xml:space="preserve">  Dalyvavimas konkursuose vyksta interneto svetain</w:t>
      </w:r>
      <w:r>
        <w:rPr>
          <w:rFonts w:ascii="Calibri" w:hAnsi="Calibri" w:hint="default"/>
          <w:b w:val="1"/>
          <w:bCs w:val="1"/>
          <w:sz w:val="26"/>
          <w:szCs w:val="26"/>
          <w:rtl w:val="0"/>
          <w:lang w:val="en-US"/>
        </w:rPr>
        <w:t>ė</w:t>
      </w:r>
      <w:r>
        <w:rPr>
          <w:rFonts w:ascii="Calibri" w:hAnsi="Calibri"/>
          <w:b w:val="1"/>
          <w:bCs w:val="1"/>
          <w:sz w:val="26"/>
          <w:szCs w:val="26"/>
          <w:rtl w:val="0"/>
          <w:lang w:val="en-US"/>
        </w:rPr>
        <w:t xml:space="preserve">je </w:t>
      </w:r>
      <w:r>
        <w:rPr>
          <w:rFonts w:ascii="Calibri" w:hAnsi="Calibri"/>
          <w:b w:val="1"/>
          <w:bCs w:val="1"/>
          <w:outline w:val="0"/>
          <w:color w:val="0008ff"/>
          <w:sz w:val="32"/>
          <w:szCs w:val="32"/>
          <w:u w:color="0008ff"/>
          <w:rtl w:val="0"/>
          <w:lang w:val="en-US"/>
          <w14:textFill>
            <w14:solidFill>
              <w14:srgbClr w14:val="0008FF"/>
            </w14:solidFill>
          </w14:textFill>
        </w:rPr>
        <w:t xml:space="preserve">www.brainring.lt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Vieno mokinio dalyvavimo konkursuose kaina </w:t>
      </w:r>
      <w:r>
        <w:rPr>
          <w:rFonts w:ascii="Calibri" w:hAnsi="Calibri" w:hint="default"/>
          <w:b w:val="1"/>
          <w:bCs w:val="1"/>
          <w:sz w:val="26"/>
          <w:szCs w:val="26"/>
          <w:rtl w:val="0"/>
          <w:lang w:val="en-US"/>
        </w:rPr>
        <w:t xml:space="preserve">— </w:t>
      </w:r>
      <w:r>
        <w:rPr>
          <w:rFonts w:ascii="Calibri" w:hAnsi="Calibri"/>
          <w:b w:val="1"/>
          <w:bCs w:val="1"/>
          <w:sz w:val="32"/>
          <w:szCs w:val="32"/>
          <w:rtl w:val="0"/>
          <w:lang w:val="en-US"/>
        </w:rPr>
        <w:t>5 €</w:t>
      </w:r>
    </w:p>
    <w:p>
      <w:pPr>
        <w:pStyle w:val="Normal (Web)"/>
        <w:spacing w:before="0" w:after="120" w:line="300" w:lineRule="atLeast"/>
        <w:jc w:val="both"/>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Dalyvavimo konkursuose registracija ir i</w:t>
      </w:r>
      <w:r>
        <w:rPr>
          <w:rFonts w:ascii="Calibri" w:hAnsi="Calibri" w:hint="default"/>
          <w:b w:val="1"/>
          <w:bCs w:val="1"/>
          <w:sz w:val="26"/>
          <w:szCs w:val="26"/>
          <w:rtl w:val="0"/>
          <w:lang w:val="en-US"/>
        </w:rPr>
        <w:t>š</w:t>
      </w:r>
      <w:r>
        <w:rPr>
          <w:rFonts w:ascii="Calibri" w:hAnsi="Calibri"/>
          <w:b w:val="1"/>
          <w:bCs w:val="1"/>
          <w:sz w:val="26"/>
          <w:szCs w:val="26"/>
          <w:rtl w:val="0"/>
          <w:lang w:val="en-US"/>
        </w:rPr>
        <w:t>samesn</w:t>
      </w:r>
      <w:r>
        <w:rPr>
          <w:rFonts w:ascii="Calibri" w:hAnsi="Calibri" w:hint="default"/>
          <w:b w:val="1"/>
          <w:bCs w:val="1"/>
          <w:sz w:val="26"/>
          <w:szCs w:val="26"/>
          <w:rtl w:val="0"/>
          <w:lang w:val="en-US"/>
        </w:rPr>
        <w:t xml:space="preserve">ė </w:t>
      </w:r>
      <w:r>
        <w:rPr>
          <w:rFonts w:ascii="Calibri" w:hAnsi="Calibri"/>
          <w:b w:val="1"/>
          <w:bCs w:val="1"/>
          <w:sz w:val="26"/>
          <w:szCs w:val="26"/>
          <w:rtl w:val="0"/>
          <w:lang w:val="en-US"/>
        </w:rPr>
        <w:t xml:space="preserve">informacija: </w:t>
      </w:r>
      <w:r>
        <w:rPr>
          <w:rFonts w:ascii="Calibri" w:hAnsi="Calibri"/>
          <w:b w:val="1"/>
          <w:bCs w:val="1"/>
          <w:outline w:val="0"/>
          <w:color w:val="0008ff"/>
          <w:sz w:val="36"/>
          <w:szCs w:val="36"/>
          <w:u w:val="single" w:color="0008ff"/>
          <w:rtl w:val="0"/>
          <w:lang w:val="en-US"/>
          <w14:textFill>
            <w14:solidFill>
              <w14:srgbClr w14:val="0008FF"/>
            </w14:solidFill>
          </w14:textFill>
        </w:rPr>
        <w:t xml:space="preserve">www.brainring.lt</w:t>
      </w:r>
    </w:p>
    <w:sectPr>
      <w:pgSz w:w="11900" w:h="16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